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1"/>
        <w:rPr/>
      </w:pPr>
      <w:bookmarkStart w:id="0" w:name="1"/>
      <w:r>
        <w:rPr/>
        <w:t>Сервис взаимодействия с ФСС по ЭРС</w:t>
      </w:r>
      <w:bookmarkEnd w:id="0"/>
    </w:p>
    <w:p>
      <w:pPr>
        <w:pStyle w:val="Subline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br w:type="page"/>
      </w:r>
    </w:p>
    <w:p>
      <w:pPr>
        <w:pStyle w:val="Normal"/>
        <w:rPr/>
      </w:pPr>
      <w:bookmarkStart w:id="1" w:name="scroll-bookmark-1"/>
      <w:bookmarkEnd w:id="1"/>
      <w:r>
        <w:rPr/>
        <w:t xml:space="preserve">Взаимодействие с </w:t>
      </w:r>
      <w:r>
        <w:rPr>
          <w:b/>
        </w:rPr>
        <w:t>Фондом социального страхования (ФСС)</w:t>
      </w:r>
      <w:r>
        <w:rPr/>
        <w:t xml:space="preserve"> осуществляется посредством формирования и отправки в ФСС </w:t>
      </w:r>
      <w:r>
        <w:rPr>
          <w:rStyle w:val="Style5"/>
          <w:color w:val="000000"/>
        </w:rPr>
        <w:t>реестров талонов и счетов на оплату</w:t>
      </w:r>
      <w:r>
        <w:rPr>
          <w:color w:val="000000"/>
        </w:rPr>
        <w:t>.</w:t>
      </w:r>
    </w:p>
    <w:p>
      <w:pPr>
        <w:pStyle w:val="Normal"/>
        <w:rPr/>
      </w:pPr>
      <w:r>
        <w:rPr>
          <w:b/>
        </w:rPr>
        <w:t xml:space="preserve">Запрос в ФСС </w:t>
      </w:r>
      <w:r>
        <w:rPr/>
        <w:t xml:space="preserve">– действие пользователя, применяемое для непосредственного взаимодействия с ФСС. Запросы производятся на форме </w:t>
      </w:r>
      <w:r>
        <w:rPr>
          <w:rStyle w:val="Style5"/>
          <w:color w:val="000000"/>
        </w:rPr>
        <w:t>Реестры талонов и счета на оплату</w:t>
      </w:r>
      <w:r>
        <w:rPr>
          <w:color w:val="000000"/>
        </w:rPr>
        <w:t>.</w:t>
      </w:r>
    </w:p>
    <w:p>
      <w:pPr>
        <w:pStyle w:val="Normal"/>
        <w:rPr/>
      </w:pPr>
      <w:r>
        <w:rPr/>
        <w:t>Запросы осуществляются с помощью методов api.</w:t>
      </w:r>
    </w:p>
    <w:p>
      <w:pPr>
        <w:pStyle w:val="Normal"/>
        <w:rPr/>
      </w:pPr>
      <w:r>
        <w:rPr/>
        <w:t>Типы запросов:</w:t>
      </w:r>
    </w:p>
    <w:p>
      <w:pPr>
        <w:pStyle w:val="Normal"/>
        <w:numPr>
          <w:ilvl w:val="0"/>
          <w:numId w:val="2"/>
        </w:numPr>
        <w:rPr/>
      </w:pPr>
      <w:r>
        <w:rPr>
          <w:b/>
        </w:rPr>
        <w:t xml:space="preserve">Запрос данных </w:t>
      </w:r>
      <w:r>
        <w:rPr/>
        <w:t>– наименование запроса в ФСС, создаваемого для получения данных в синхронном режиме, без предварительной регистрации запроса в ФСС. Применяется для методов:</w:t>
      </w:r>
    </w:p>
    <w:p>
      <w:pPr>
        <w:pStyle w:val="Normal"/>
        <w:numPr>
          <w:ilvl w:val="1"/>
          <w:numId w:val="3"/>
        </w:numPr>
        <w:rPr/>
      </w:pPr>
      <w:r>
        <w:rPr/>
        <w:t>Получение статуса платежных документов (getTicketsPayStatus)</w:t>
      </w:r>
    </w:p>
    <w:p>
      <w:pPr>
        <w:pStyle w:val="Normal"/>
        <w:numPr>
          <w:ilvl w:val="1"/>
          <w:numId w:val="3"/>
        </w:numPr>
        <w:rPr/>
      </w:pPr>
      <w:r>
        <w:rPr/>
        <w:t>Получение актуальных данных Родового сертификата (getErsData)</w:t>
      </w:r>
    </w:p>
    <w:p>
      <w:pPr>
        <w:pStyle w:val="Normal"/>
        <w:numPr>
          <w:ilvl w:val="1"/>
          <w:numId w:val="3"/>
        </w:numPr>
        <w:rPr/>
      </w:pPr>
      <w:r>
        <w:rPr/>
        <w:t>Получение актуальных данных Талонов (getTickets)</w:t>
      </w:r>
    </w:p>
    <w:p>
      <w:pPr>
        <w:pStyle w:val="Normal"/>
        <w:numPr>
          <w:ilvl w:val="1"/>
          <w:numId w:val="3"/>
        </w:numPr>
        <w:rPr/>
      </w:pPr>
      <w:r>
        <w:rPr/>
        <w:t>Закрытие ЭРС (disableErs)</w:t>
      </w:r>
    </w:p>
    <w:p>
      <w:pPr>
        <w:pStyle w:val="Normal"/>
        <w:numPr>
          <w:ilvl w:val="0"/>
          <w:numId w:val="2"/>
        </w:numPr>
        <w:rPr/>
      </w:pPr>
      <w:r>
        <w:rPr>
          <w:b/>
        </w:rPr>
        <w:t xml:space="preserve">Запрос на регистрацию </w:t>
      </w:r>
      <w:r>
        <w:rPr/>
        <w:t>– наименование запроса в ФСС, формируемого для регистрации запроса на обработку данных в ФСС. В качестве ответа всегда выступает Идентификатор зарегистрированного запроса в ФСС. Применяется для методов:</w:t>
      </w:r>
    </w:p>
    <w:p>
      <w:pPr>
        <w:pStyle w:val="Normal"/>
        <w:numPr>
          <w:ilvl w:val="1"/>
          <w:numId w:val="4"/>
        </w:numPr>
        <w:rPr/>
      </w:pPr>
      <w:r>
        <w:rPr/>
        <w:t>Регистрация нового Родового сертификата (createErs)</w:t>
      </w:r>
    </w:p>
    <w:p>
      <w:pPr>
        <w:pStyle w:val="Normal"/>
        <w:numPr>
          <w:ilvl w:val="1"/>
          <w:numId w:val="4"/>
        </w:numPr>
        <w:rPr/>
      </w:pPr>
      <w:r>
        <w:rPr/>
        <w:t>Регистрация сведений о Талонах (putTicket1, putTicket2, putTicket3)</w:t>
      </w:r>
    </w:p>
    <w:p>
      <w:pPr>
        <w:pStyle w:val="Normal"/>
        <w:numPr>
          <w:ilvl w:val="1"/>
          <w:numId w:val="4"/>
        </w:numPr>
        <w:rPr/>
      </w:pPr>
      <w:r>
        <w:rPr/>
        <w:t>Постановка на учет детей (registerChildErs)</w:t>
      </w:r>
    </w:p>
    <w:p>
      <w:pPr>
        <w:pStyle w:val="Normal"/>
        <w:numPr>
          <w:ilvl w:val="1"/>
          <w:numId w:val="4"/>
        </w:numPr>
        <w:rPr/>
      </w:pPr>
      <w:r>
        <w:rPr/>
        <w:t>Регистрация платежных документов (putTicketsPay)</w:t>
      </w:r>
    </w:p>
    <w:p>
      <w:pPr>
        <w:pStyle w:val="Normal"/>
        <w:numPr>
          <w:ilvl w:val="0"/>
          <w:numId w:val="2"/>
        </w:numPr>
        <w:rPr/>
      </w:pPr>
      <w:r>
        <w:rPr>
          <w:b/>
        </w:rPr>
        <w:t xml:space="preserve">Запрос результатов обработки </w:t>
      </w:r>
      <w:r>
        <w:rPr/>
        <w:t>– наименование запроса в ФСС, формируемого для получения данных по ранее зарегистрированному Запросу на регистрацию. Единственный вариант Запроса в ФСС, не подразумевающий ответа непосредственно после формирования. Может запускаться многократно с определенной периодичностью, вплоть до получения в ответе требуемых данных (или сообщения об ошибке). Обязательно хранит в себе связь с родительским Запросом на регистрацию. Применяется для метода:</w:t>
      </w:r>
    </w:p>
    <w:p>
      <w:pPr>
        <w:pStyle w:val="Normal"/>
        <w:numPr>
          <w:ilvl w:val="1"/>
          <w:numId w:val="5"/>
        </w:numPr>
        <w:spacing w:before="0" w:after="120"/>
        <w:rPr/>
      </w:pPr>
      <w:r>
        <w:rPr/>
        <w:t>Получение результатов обработки (gerResultById)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Сервис взаимодействия с ФСС по ЭРС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/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Lohit Devanagari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Style11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2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3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1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LibreOffice/6.0.7.3$Linux_X86_64 LibreOffice_project/00m0$Build-3</Application>
  <Pages>2</Pages>
  <Words>232</Words>
  <Characters>1603</Characters>
  <CharactersWithSpaces>1810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2021-06-24T17:44:48Z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